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425577" cy="87445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5577" cy="874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.8" w:lineRule="auto"/>
        <w:ind w:firstLine="566.929133858267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Стартовала регистрация участников в XIII Международной олимпиаде в сфере информационных технологий «IT-Планета 2020/21»</w:t>
      </w:r>
    </w:p>
    <w:p w:rsidR="00000000" w:rsidDel="00000000" w:rsidP="00000000" w:rsidRDefault="00000000" w:rsidRPr="00000000" w14:paraId="00000003">
      <w:pPr>
        <w:spacing w:after="160" w:line="256.8" w:lineRule="auto"/>
        <w:ind w:firstLine="566.9291338582675"/>
        <w:jc w:val="both"/>
        <w:rPr/>
      </w:pPr>
      <w:r w:rsidDel="00000000" w:rsidR="00000000" w:rsidRPr="00000000">
        <w:rPr>
          <w:b w:val="1"/>
          <w:rtl w:val="0"/>
        </w:rPr>
        <w:t xml:space="preserve">Москва – 1 февраля 2021 года. Стартовала регистрация участников в XIII Международной олимпиаде в сфере информационных технологий «IT-Планета 2020/21».</w:t>
      </w:r>
      <w:r w:rsidDel="00000000" w:rsidR="00000000" w:rsidRPr="00000000">
        <w:rPr>
          <w:rtl w:val="0"/>
        </w:rPr>
        <w:t xml:space="preserve"> Регистрация участников и первый отборочный этап (решение простых кейсов и задач) проходит  на официальном сайте соревнований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world-it-planet.org</w:t>
        </w:r>
      </w:hyperlink>
      <w:r w:rsidDel="00000000" w:rsidR="00000000" w:rsidRPr="00000000">
        <w:rPr>
          <w:rtl w:val="0"/>
        </w:rPr>
        <w:t xml:space="preserve"> и продлится с 1 февраля  по 31 марта включительно. </w:t>
      </w:r>
    </w:p>
    <w:p w:rsidR="00000000" w:rsidDel="00000000" w:rsidP="00000000" w:rsidRDefault="00000000" w:rsidRPr="00000000" w14:paraId="00000004">
      <w:pPr>
        <w:spacing w:after="160" w:line="256.8" w:lineRule="auto"/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«IT-Планета 2020/21» проходит в обновленном формате на платформе инновационных соревнований Braim.org. В этом учебном году задания направлены на решения задач по цифровизации отраслей экономики, таких как здравоохранение, финансовый сектор, промышленность, потребительские товары, энергетика, недвижимость, торговля и общественное питание, образование и наука, сельское хозяйство, строительство, транспорт и другие.</w:t>
      </w:r>
    </w:p>
    <w:p w:rsidR="00000000" w:rsidDel="00000000" w:rsidP="00000000" w:rsidRDefault="00000000" w:rsidRPr="00000000" w14:paraId="00000005">
      <w:pPr>
        <w:spacing w:after="160" w:line="256.8" w:lineRule="auto"/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Разработанные IT-решения могут быть представлены в одном из следующих направлений: большие данные (Big Data), информационная безопасность, автоматизированное тестирование, DevOps, программирование, web-дизайн, 3D - моделирование, искусственный интеллект, робототехника и ПО для роботов, AR &amp; VR, облачные технологии, умный дом/город, Data Science, связи и коммуникационные технологии, и другие.</w:t>
      </w:r>
    </w:p>
    <w:p w:rsidR="00000000" w:rsidDel="00000000" w:rsidP="00000000" w:rsidRDefault="00000000" w:rsidRPr="00000000" w14:paraId="00000006">
      <w:pPr>
        <w:spacing w:after="160" w:line="256.8" w:lineRule="auto"/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Участниками Олимпиады могут стать студенты, аспиранты и выпускники 2020 года учреждений высшего и среднего профессионального образования России и других стран в возрасте от 16 до 27 лет включительно. </w:t>
      </w:r>
    </w:p>
    <w:p w:rsidR="00000000" w:rsidDel="00000000" w:rsidP="00000000" w:rsidRDefault="00000000" w:rsidRPr="00000000" w14:paraId="00000007">
      <w:pPr>
        <w:spacing w:after="160" w:line="256.8" w:lineRule="auto"/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За 13-летнюю историю за Олимпиадой закрепилось народное название “Олимпиада Работодателей”, так как партнёрами и организаторами выступают ведущие производители технологий и некоммерческие организации, объединяющие работодателей в сфере ИТ. В этом году организаторами Олимпиады выступили АНО "ЦРИТ "ИТ-Планета",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Ассоциация Разработчиков Программных Продуктов (АРПП) «Отечественный софт»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Некоммерческое Партнерство разработчиков программного обеспечения «РУССОФТ</w:t>
        </w:r>
      </w:hyperlink>
      <w:r w:rsidDel="00000000" w:rsidR="00000000" w:rsidRPr="00000000">
        <w:rPr>
          <w:rtl w:val="0"/>
        </w:rPr>
        <w:t xml:space="preserve">»,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«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Резиденты Технопарка Сколково</w:t>
        </w:r>
      </w:hyperlink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»</w:t>
        </w:r>
      </w:hyperlink>
      <w:r w:rsidDel="00000000" w:rsidR="00000000" w:rsidRPr="00000000">
        <w:rPr>
          <w:rtl w:val="0"/>
        </w:rPr>
        <w:t xml:space="preserve">..А партнёрами и потенциальными работодателями для участников стали российские и международные компании такие как: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СБЕР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Oracle</w:t>
        </w:r>
      </w:hyperlink>
      <w:r w:rsidDel="00000000" w:rsidR="00000000" w:rsidRPr="00000000">
        <w:rPr>
          <w:rtl w:val="0"/>
        </w:rPr>
        <w:t xml:space="preserve">,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ГК Astra Linux</w:t>
        </w:r>
      </w:hyperlink>
      <w:r w:rsidDel="00000000" w:rsidR="00000000" w:rsidRPr="00000000">
        <w:rPr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DataArt</w:t>
        </w:r>
      </w:hyperlink>
      <w:r w:rsidDel="00000000" w:rsidR="00000000" w:rsidRPr="00000000">
        <w:rPr>
          <w:rtl w:val="0"/>
        </w:rPr>
        <w:t xml:space="preserve">,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Farzoom</w:t>
        </w:r>
      </w:hyperlink>
      <w:r w:rsidDel="00000000" w:rsidR="00000000" w:rsidRPr="00000000">
        <w:rPr>
          <w:rtl w:val="0"/>
        </w:rPr>
        <w:t xml:space="preserve">,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ROBBO</w:t>
        </w:r>
      </w:hyperlink>
      <w:r w:rsidDel="00000000" w:rsidR="00000000" w:rsidRPr="00000000">
        <w:rPr>
          <w:rtl w:val="0"/>
        </w:rPr>
        <w:t xml:space="preserve">,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ИСП РАН</w:t>
        </w:r>
      </w:hyperlink>
      <w:r w:rsidDel="00000000" w:rsidR="00000000" w:rsidRPr="00000000">
        <w:rPr>
          <w:rtl w:val="0"/>
        </w:rPr>
        <w:t xml:space="preserve">,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СимбирСофт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ГНУ Линуксцентр</w:t>
        </w:r>
      </w:hyperlink>
      <w:r w:rsidDel="00000000" w:rsidR="00000000" w:rsidRPr="00000000">
        <w:rPr>
          <w:rtl w:val="0"/>
        </w:rPr>
        <w:t xml:space="preserve"> и другие ведущие компании, развивающие цифровые технологии в различных отраслях экономики.</w:t>
      </w:r>
    </w:p>
    <w:p w:rsidR="00000000" w:rsidDel="00000000" w:rsidP="00000000" w:rsidRDefault="00000000" w:rsidRPr="00000000" w14:paraId="00000008">
      <w:pPr>
        <w:spacing w:after="160" w:line="256.8" w:lineRule="auto"/>
        <w:ind w:firstLine="566.9291338582675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Соревновательная часть олимпиады проходит в следующие сроки:</w:t>
      </w:r>
    </w:p>
    <w:p w:rsidR="00000000" w:rsidDel="00000000" w:rsidP="00000000" w:rsidRDefault="00000000" w:rsidRPr="00000000" w14:paraId="00000009">
      <w:pPr>
        <w:spacing w:after="160" w:line="256.8" w:lineRule="auto"/>
        <w:ind w:firstLine="566.9291338582675"/>
        <w:rPr/>
      </w:pPr>
      <w:r w:rsidDel="00000000" w:rsidR="00000000" w:rsidRPr="00000000">
        <w:rPr>
          <w:b w:val="1"/>
          <w:rtl w:val="0"/>
        </w:rPr>
        <w:t xml:space="preserve">1 февраля - 31 марта</w:t>
      </w:r>
      <w:r w:rsidDel="00000000" w:rsidR="00000000" w:rsidRPr="00000000">
        <w:rPr>
          <w:rtl w:val="0"/>
        </w:rPr>
        <w:t xml:space="preserve"> – Регистрация участников и первый отборочный этап. Решение простых кейсов и задач и сбор идей. </w:t>
      </w:r>
    </w:p>
    <w:p w:rsidR="00000000" w:rsidDel="00000000" w:rsidP="00000000" w:rsidRDefault="00000000" w:rsidRPr="00000000" w14:paraId="0000000A">
      <w:pPr>
        <w:spacing w:after="160" w:line="256.8" w:lineRule="auto"/>
        <w:ind w:firstLine="566.9291338582675"/>
        <w:rPr/>
      </w:pPr>
      <w:r w:rsidDel="00000000" w:rsidR="00000000" w:rsidRPr="00000000">
        <w:rPr>
          <w:b w:val="1"/>
          <w:rtl w:val="0"/>
        </w:rPr>
        <w:t xml:space="preserve">10 - 25 апреля</w:t>
      </w:r>
      <w:r w:rsidDel="00000000" w:rsidR="00000000" w:rsidRPr="00000000">
        <w:rPr>
          <w:rtl w:val="0"/>
        </w:rPr>
        <w:t xml:space="preserve"> – Основной этап соревнований Решение усложненных задач и/или защита проектов, онлайн-школа.</w:t>
      </w:r>
    </w:p>
    <w:p w:rsidR="00000000" w:rsidDel="00000000" w:rsidP="00000000" w:rsidRDefault="00000000" w:rsidRPr="00000000" w14:paraId="0000000B">
      <w:pPr>
        <w:spacing w:after="160" w:line="256.8" w:lineRule="auto"/>
        <w:ind w:firstLine="566.9291338582675"/>
        <w:rPr/>
      </w:pPr>
      <w:r w:rsidDel="00000000" w:rsidR="00000000" w:rsidRPr="00000000">
        <w:rPr>
          <w:b w:val="1"/>
          <w:rtl w:val="0"/>
        </w:rPr>
        <w:t xml:space="preserve">28 - 31 мая</w:t>
      </w:r>
      <w:r w:rsidDel="00000000" w:rsidR="00000000" w:rsidRPr="00000000">
        <w:rPr>
          <w:rtl w:val="0"/>
        </w:rPr>
        <w:t xml:space="preserve"> – Финал. Защита итоговых решений/проектов.</w:t>
      </w:r>
    </w:p>
    <w:p w:rsidR="00000000" w:rsidDel="00000000" w:rsidP="00000000" w:rsidRDefault="00000000" w:rsidRPr="00000000" w14:paraId="0000000C">
      <w:pPr>
        <w:spacing w:after="160" w:line="256.8" w:lineRule="auto"/>
        <w:ind w:firstLine="566.9291338582675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“Олимпиада «IT-Планета 2020/21» открывает широкие возможности для всех участников. Так, победители Олимпиады получают возможность пройти производственную практику с возможностью дальнейшего трудоустройства от партнеров соревнований, учебные заведения, от которых выдвигались победители, укрепляют свой статус на федеральном или международном уровне и увеличивая свои шансы на привлечение инвестиций, а для работодателей Олимпиада – инструмент поиска одаренных студентов.” - </w:t>
      </w:r>
      <w:r w:rsidDel="00000000" w:rsidR="00000000" w:rsidRPr="00000000">
        <w:rPr>
          <w:rtl w:val="0"/>
        </w:rPr>
        <w:t xml:space="preserve">отметил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Сергей Шалашный, Председатель правления АНО Центра развития информационных технологий «ИТ-Планета».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6.8" w:lineRule="auto"/>
        <w:ind w:firstLine="566.9291338582675"/>
        <w:jc w:val="both"/>
        <w:rPr/>
      </w:pPr>
      <w:r w:rsidDel="00000000" w:rsidR="00000000" w:rsidRPr="00000000">
        <w:rPr>
          <w:rtl w:val="0"/>
        </w:rPr>
        <w:t xml:space="preserve">С более подробной информацией можно ознакомиться на официальном сайте мероприятия: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 world-it-planet.org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160" w:line="256.8" w:lineRule="auto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76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Информация для прессы: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Галина Федорович,</w:t>
        <w:br w:type="textWrapping"/>
        <w:t xml:space="preserve">Руководитель отдела PR и маркетинга </w:t>
        <w:br w:type="textWrapping"/>
        <w:t xml:space="preserve">АНО "ЦРИТ "ИТ-Планета"</w:t>
        <w:br w:type="textWrapping"/>
      </w:r>
      <w:hyperlink r:id="rId24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g.fedorovich@world-it-planet.org</w:t>
        </w:r>
      </w:hyperlink>
      <w:r w:rsidDel="00000000" w:rsidR="00000000" w:rsidRPr="00000000">
        <w:rPr>
          <w:i w:val="1"/>
          <w:sz w:val="20"/>
          <w:szCs w:val="20"/>
          <w:rtl w:val="0"/>
        </w:rPr>
        <w:br w:type="textWrapping"/>
        <w:t xml:space="preserve">+7 (499) 703-39-49 доб. 130</w:t>
        <w:br w:type="textWrapping"/>
        <w:t xml:space="preserve">+7 (918) 151-83-34</w:t>
      </w:r>
    </w:p>
    <w:p w:rsidR="00000000" w:rsidDel="00000000" w:rsidP="00000000" w:rsidRDefault="00000000" w:rsidRPr="00000000" w14:paraId="00000010">
      <w:pPr>
        <w:spacing w:after="160" w:line="27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color w:val="1f497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Координатор ИТ-олимпиады: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Шабаев Никита Александрович,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i w:val="1"/>
          <w:sz w:val="20"/>
          <w:szCs w:val="20"/>
        </w:rPr>
      </w:pPr>
      <w:hyperlink r:id="rId25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n.shabaev@world-it-planet.org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+7 (983) 153-71-77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76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Об Олимпиаде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.8" w:lineRule="auto"/>
        <w:ind w:left="0" w:right="0" w:firstLine="566.9291338582675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Олимпиада «IT-Планета» – это соревнования, направленные на выявление и поддержку способных и практически подготовленных студентов и молодых специалистов ИТ-сферы.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.8" w:lineRule="auto"/>
        <w:ind w:left="0" w:right="0" w:firstLine="566.9291338582675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Проект создаёт условия для взаимодействия студентов напрямую с представителями профессионального сообщества, способствует профессиональному развитию студентов в соответствии с актуальными требованиями рынка. </w:t>
      </w:r>
    </w:p>
    <w:p w:rsidR="00000000" w:rsidDel="00000000" w:rsidP="00000000" w:rsidRDefault="00000000" w:rsidRPr="00000000" w14:paraId="00000019">
      <w:pPr>
        <w:ind w:firstLine="72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Статистика Олимпиады «IT-Планета» за 12 лет проведения Олимпиады: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131 253 студента приняли участие в Олимпиаде, из них 87 795 резиденты Российской Федерации.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486 участников стали призерами Олимпиады.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3500 учебных заведений профессионального образования приняли участие в Олимпиаде.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85 субъектов Российской федерации приняли участие в Олимпиаде.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15 стран участниц: Азербайджан, Армения, Беларусь, Германия, Израиль, Казахстан, Кипр, Киргизия, Латвия, Молдова, Польша, Россия, Соединенное Королевство, Таджикистан, Туркмения.</w:t>
      </w:r>
    </w:p>
    <w:sectPr>
      <w:pgSz w:h="16834" w:w="11909" w:orient="portrait"/>
      <w:pgMar w:bottom="1090.0393700787413" w:top="1133.8582677165355" w:left="1133.8582677165355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spras.ru/" TargetMode="External"/><Relationship Id="rId22" Type="http://schemas.openxmlformats.org/officeDocument/2006/relationships/hyperlink" Target="https://www.linuxcenter.ru/" TargetMode="External"/><Relationship Id="rId21" Type="http://schemas.openxmlformats.org/officeDocument/2006/relationships/hyperlink" Target="https://www.simbirsoft.com/" TargetMode="External"/><Relationship Id="rId24" Type="http://schemas.openxmlformats.org/officeDocument/2006/relationships/hyperlink" Target="mailto:g.fedorovich@world-it-planet.org" TargetMode="External"/><Relationship Id="rId23" Type="http://schemas.openxmlformats.org/officeDocument/2006/relationships/hyperlink" Target="https://world-it-planet.org/?utm_source=letter&amp;utm_medium=uz&amp;utm_campaign=start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ppsoft.ru/" TargetMode="External"/><Relationship Id="rId25" Type="http://schemas.openxmlformats.org/officeDocument/2006/relationships/hyperlink" Target="mailto:n.shabaev@world-it-planet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orld-it-planet.org/?utm_source=letter&amp;utm_medium=uz&amp;utm_campaign=startp" TargetMode="External"/><Relationship Id="rId11" Type="http://schemas.openxmlformats.org/officeDocument/2006/relationships/hyperlink" Target="https://sk.ru/technopark/" TargetMode="External"/><Relationship Id="rId10" Type="http://schemas.openxmlformats.org/officeDocument/2006/relationships/hyperlink" Target="https://russoft.org/" TargetMode="External"/><Relationship Id="rId13" Type="http://schemas.openxmlformats.org/officeDocument/2006/relationships/hyperlink" Target="https://sk.ru/technopark/" TargetMode="External"/><Relationship Id="rId12" Type="http://schemas.openxmlformats.org/officeDocument/2006/relationships/hyperlink" Target="https://sk.ru/technopark/" TargetMode="External"/><Relationship Id="rId15" Type="http://schemas.openxmlformats.org/officeDocument/2006/relationships/hyperlink" Target="https://www.oracle.com/index.html" TargetMode="External"/><Relationship Id="rId14" Type="http://schemas.openxmlformats.org/officeDocument/2006/relationships/hyperlink" Target="https://sbergraduate.ru/" TargetMode="External"/><Relationship Id="rId17" Type="http://schemas.openxmlformats.org/officeDocument/2006/relationships/hyperlink" Target="https://dataart.ru/" TargetMode="External"/><Relationship Id="rId16" Type="http://schemas.openxmlformats.org/officeDocument/2006/relationships/hyperlink" Target="https://astralinux.ru/" TargetMode="External"/><Relationship Id="rId19" Type="http://schemas.openxmlformats.org/officeDocument/2006/relationships/hyperlink" Target="https://robbo.ru/" TargetMode="External"/><Relationship Id="rId18" Type="http://schemas.openxmlformats.org/officeDocument/2006/relationships/hyperlink" Target="https://www.farz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2TpgnUseMXSUhZZi+KFRNJPxQ==">AMUW2mWJCa5WC9iVWxE97WSJcyQS31yx9nNWgrTNq0qigc41vQND5VsjOf9E8Wgr5TovMxclJ2FZyp7Kigxq9wQ/Ji4dGXcSm0jCfGlM1JNJdBeEelrxTio=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